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2009 г. N 1140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СТАНДАРТОВ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РАСКРЫТИЯ ИНФОРМАЦИИ ОРГАНИЗАЦИЯМИ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КОММУНАЛЬНОГО КОМПЛЕКСА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17.01.2013 </w:t>
      </w:r>
      <w:hyperlink r:id="rId4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>,</w:t>
      </w:r>
      <w:proofErr w:type="gramEnd"/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05.07.2013 </w:t>
      </w:r>
      <w:hyperlink r:id="rId5" w:history="1">
        <w:r>
          <w:rPr>
            <w:rFonts w:ascii="Calibri" w:hAnsi="Calibri" w:cs="Calibri"/>
            <w:color w:val="0000FF"/>
          </w:rPr>
          <w:t>N 570</w:t>
        </w:r>
      </w:hyperlink>
      <w:r>
        <w:rPr>
          <w:rFonts w:ascii="Calibri" w:hAnsi="Calibri" w:cs="Calibri"/>
        </w:rPr>
        <w:t>)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статей 3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3.1</w:t>
        </w:r>
      </w:hyperlink>
      <w:r>
        <w:rPr>
          <w:rFonts w:ascii="Calibri" w:hAnsi="Calibri" w:cs="Calibri"/>
        </w:rPr>
        <w:t xml:space="preserve"> Федерального закона "Об основах регулирования тарифов организаций коммунального комплекса" Правительство Российской Федерации постановляет: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05.07.2013 N 570)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33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раскрытия информации организациями коммунального комплекса.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05.07.2013 N 570)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2009 г. N 1140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3"/>
      <w:bookmarkEnd w:id="0"/>
      <w:r>
        <w:rPr>
          <w:rFonts w:ascii="Calibri" w:hAnsi="Calibri" w:cs="Calibri"/>
          <w:b/>
          <w:bCs/>
        </w:rPr>
        <w:t>СТАНДАРТЫ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РАСКРЫТИЯ ИНФОРМАЦИИ ОРГАНИЗАЦИЯМИ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КОММУНАЛЬНОГО КОМПЛЕКСА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17.01.2013 </w:t>
      </w:r>
      <w:hyperlink r:id="rId10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>,</w:t>
      </w:r>
      <w:proofErr w:type="gramEnd"/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05.07.2013 </w:t>
      </w:r>
      <w:hyperlink r:id="rId11" w:history="1">
        <w:r>
          <w:rPr>
            <w:rFonts w:ascii="Calibri" w:hAnsi="Calibri" w:cs="Calibri"/>
            <w:color w:val="0000FF"/>
          </w:rPr>
          <w:t>N 570</w:t>
        </w:r>
      </w:hyperlink>
      <w:r>
        <w:rPr>
          <w:rFonts w:ascii="Calibri" w:hAnsi="Calibri" w:cs="Calibri"/>
        </w:rPr>
        <w:t>)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документ устанавливает состав и порядок раскрытия информации организациями коммунального комплекса (далее - регулируемые организации).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05.07.2013 N 570)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 раскрытием информации в настоящем документе понимается обеспечение доступа к информации неограниченного круга лиц независимо от цели получения указанной информации.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Регулируемыми организациями информация раскрывается путем: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опубликования в печатных средствах массовой информации, в которых в соответствии с законами субъектов Российской Федерации публикуются официальные материалы органов государственной власти, и (или) в печатных изданиях, в которых публикуются акты органов местного самоуправления, распространяемых в субъектах Российской Федерации и (или) муниципальных образованиях, на территории которых регулируемые организации осуществляют свою деятельность (далее - официальные печатные издания);</w:t>
      </w:r>
      <w:proofErr w:type="gramEnd"/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8"/>
      <w:bookmarkEnd w:id="1"/>
      <w:proofErr w:type="gramStart"/>
      <w:r>
        <w:rPr>
          <w:rFonts w:ascii="Calibri" w:hAnsi="Calibri" w:cs="Calibri"/>
        </w:rPr>
        <w:lastRenderedPageBreak/>
        <w:t>б) опубликования на официальном сайте в информационно-телекоммуникационной сети Интернет (далее - сеть Интернет) регулируемой организации, и (или) на официальном сайте в сети Интернет органа исполнительной власти субъекта Российской Федерации (органа местного самоуправления), уполномоченного осуществлять контроль за соблюдением стандартов раскрытия информации, и (или) на ином официальном сайте в сети Интернет, определяемом Правительством Российской Федерации;</w:t>
      </w:r>
      <w:proofErr w:type="gramEnd"/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предоставления информации на основании письменных запросов потребителей товаров и услуг регулируемых организаций (далее соответственно - потребители, регулируемые товары и услуги).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Информация, подлежащая раскрытию в соответствии с настоящим документом, размещается регулируемой организацией на выбранных ею сайтах в сети Интернет из числа указанных в </w:t>
      </w:r>
      <w:hyperlink w:anchor="Par48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настоящего документа и должна быть доступна в течение 5 лет.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Регулируемые организации обязаны сообщать по запросу потребителей адрес сайта в сети Интернет, на котором размещена информация, подлежащая раскрытию в соответствии с настоящим документом.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официальных печатных изданиях (со ссылкой на адрес сайта в сети Интернет, на котором информация размещается в полном объеме) подлежит опубликованию информация, указанная в пунктах </w:t>
      </w:r>
      <w:hyperlink w:anchor="Par92" w:history="1">
        <w:r>
          <w:rPr>
            <w:rFonts w:ascii="Calibri" w:hAnsi="Calibri" w:cs="Calibri"/>
            <w:color w:val="0000FF"/>
          </w:rPr>
          <w:t>56</w:t>
        </w:r>
      </w:hyperlink>
      <w:r>
        <w:rPr>
          <w:rFonts w:ascii="Calibri" w:hAnsi="Calibri" w:cs="Calibri"/>
        </w:rPr>
        <w:t xml:space="preserve"> и </w:t>
      </w:r>
      <w:hyperlink w:anchor="Par113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настоящего документа.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РФ от 17.01.2013 </w:t>
      </w:r>
      <w:hyperlink r:id="rId13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 xml:space="preserve">, от 05.07.2013 </w:t>
      </w:r>
      <w:hyperlink r:id="rId14" w:history="1">
        <w:r>
          <w:rPr>
            <w:rFonts w:ascii="Calibri" w:hAnsi="Calibri" w:cs="Calibri"/>
            <w:color w:val="0000FF"/>
          </w:rPr>
          <w:t>N 570</w:t>
        </w:r>
      </w:hyperlink>
      <w:r>
        <w:rPr>
          <w:rFonts w:ascii="Calibri" w:hAnsi="Calibri" w:cs="Calibri"/>
        </w:rPr>
        <w:t>)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 территориях, на которых отсутствует доступ к сети Интернет, информация раскрывается путем ее опубликования в официальных печатных изданиях в полном объеме, а также путем предоставления информации на основании письменных запросов потребителей.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Регулируемые организации в течение 5 рабочих дней со дня опубликования информации в официальных печатных изданиях (размещения на сайте в сети Интернет) в соответствии с настоящим документом сообщают в орган исполнительной власти субъекта Российской Федерации (орган местного самоуправления), уполномоченный осуществлять контроль за соблюдением стандартов раскрытия информации, о раскрытии соответствующей информации с указанием официального печатного издания и (или) адреса сайта в сети</w:t>
      </w:r>
      <w:proofErr w:type="gramEnd"/>
      <w:r>
        <w:rPr>
          <w:rFonts w:ascii="Calibri" w:hAnsi="Calibri" w:cs="Calibri"/>
        </w:rPr>
        <w:t xml:space="preserve"> Интернет, которые используются для размещения этой информации.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 случае раскрытия информации на официальном сайте в сети Интернет органа исполнительной власти субъекта Российской Федерации (органа местного самоуправления), уполномоченного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стандартов раскрытия информации, сообщение о раскрытии соответствующей информации в этот орган исполнительной власти субъекта Российской Федерации и (или) орган местного самоуправления не направляется.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Регулируемые организации ведут учет письменных запросов потребителей, а также хранят копии ответов на такие запросы в течение 5 лет.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Перечень информации, подлежащей раскрытию в соответствии с настоящим документом, является исчерпывающим.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СТАНДАРТЫ РАСКРЫТИЯ ИНФОРМАЦИИ В СФЕРЕ ТЕПЛОСНАБЖЕНИЯ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СФЕРЕ ОКАЗАНИЯ УСЛУГ ПО ПЕРЕДАЧЕ ТЕПЛОВОЙ ЭНЕРГИИ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05.07.2013 N 570.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СТАНДАРТЫ РАСКРЫТИЯ ИНФОРМАЦИИ В СФЕРЕ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17.01.2013 N 6.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СТАНДАРТЫ РАСКРЫТИЯ ИНФОРМАЦИИ В СФЕРЕ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ХОЛОДНОГО ВОДОСНАБЖЕНИЯ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17.01.2013 N 6.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СТАНДАРТЫ РАСКРЫТИЯ ИНФОРМАЦИИ В СФЕРЕ ВОДООТВЕДЕНИЯ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ОЧИСТКИ СТОЧНЫХ ВОД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17.01.2013 N 6.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СТАНДАРТЫ РАСКРЫТИЯ ИНФОРМАЦИИ В СФЕРЕ УТИЛИЗАЦИИ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(ЗАХОРОНЕНИЯ) ТВЕРДЫХ БЫТОВЫХ ОТХОДОВ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55. В сфере утилизации (захоронения) твердых бытовых отходов раскрытию подлежит информация: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ценах (тарифах) на регулируемые товары и услуги и надбавках к этим ценам (тарифам);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основных показателях финансово-хозяйственной деятельности регулируемых организаций, включая структуру основных производственных затрат (в части регулируемой деятельности);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инвестиционных программах и отчетах об их реализации.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2"/>
      <w:bookmarkEnd w:id="2"/>
      <w:r>
        <w:rPr>
          <w:rFonts w:ascii="Calibri" w:hAnsi="Calibri" w:cs="Calibri"/>
        </w:rPr>
        <w:t>56. Информация о ценах (тарифах) на регулируемые товары и услуги и надбавках к этим ценам (тарифам) содержит сведения: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 утвержденных тарифах на утилизацию (захоронение) твердых бытовых отходов;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утвержденных надбавках к ценам (тарифам) на утилизацию (захоронение) твердых бытовых отходов для потребителей;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утвержденных надбавках к тарифам регулируемых организаций на утилизацию (захоронение) твердых бытовых отходов.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57. В отношении каждой из групп сведений, указанных в </w:t>
      </w:r>
      <w:hyperlink w:anchor="Par92" w:history="1">
        <w:r>
          <w:rPr>
            <w:rFonts w:ascii="Calibri" w:hAnsi="Calibri" w:cs="Calibri"/>
            <w:color w:val="0000FF"/>
          </w:rPr>
          <w:t>пункте 56</w:t>
        </w:r>
      </w:hyperlink>
      <w:r>
        <w:rPr>
          <w:rFonts w:ascii="Calibri" w:hAnsi="Calibri" w:cs="Calibri"/>
        </w:rPr>
        <w:t xml:space="preserve"> настоящего документа, указываются наименование регулирующего органа, принявшего решение об утверждении цен (тарифов) и надбавок к ним, реквизиты (дата и номер) такого решения, величина установленного тарифа или надбавки, срок действия тарифа или надбавки, а также источник официального опубликования решения.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7"/>
      <w:bookmarkEnd w:id="3"/>
      <w:r>
        <w:rPr>
          <w:rFonts w:ascii="Calibri" w:hAnsi="Calibri" w:cs="Calibri"/>
        </w:rPr>
        <w:t>58. 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 (в части регулируемой деятельности), содержит сведения: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8"/>
      <w:bookmarkEnd w:id="4"/>
      <w:r>
        <w:rPr>
          <w:rFonts w:ascii="Calibri" w:hAnsi="Calibri" w:cs="Calibri"/>
        </w:rPr>
        <w:t>а) о виде регулируемой деятельности (утилизация твердых бытовых отходов, захоронение твердых бытовых отходов);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выручке от регулируемой деятельности (тыс. рублей);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себестоимости оказываемых услуг по регулируемому виду деятельности (тыс. рублей), включающей: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труда и отчисления на социальные нужды основного производственного персонала;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амортизацию основных производственных средств и аренду имущества, используемого в технологическом процессе;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общепроизводственные (цеховые) расходы, в том числе расходы на оплату труда и отчисления на социальные нужды;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общехозяйственные (управленческие) расходы, в том числе расходы на оплату труда и отчисления на социальные нужды;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ремонт (капитальный и текущий) основных производственных средств;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услуги производственного характера, выполняемые по договорам с организациями на проведение регламентных работ в рамках технологического процесса;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валовой прибыли от оказания услуг по регулируемому виду деятельности (тыс. рублей);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8"/>
      <w:bookmarkEnd w:id="5"/>
      <w:r>
        <w:rPr>
          <w:rFonts w:ascii="Calibri" w:hAnsi="Calibri" w:cs="Calibri"/>
        </w:rPr>
        <w:t>д) о чистой прибыли по регулируемому виду деятельности с указанием размера ее расходования на финансирование мероприятий, предусмотренных инвестиционной программой регулируемой организации, по развитию системы (объектов) утилизации твердых бытовых отходов (тыс. рублей);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 изменении стоимости основных фондов, в том числе за счет ввода (вывода) из эксплуатации (тыс. рублей);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ж) о годовой бухгалтерской отчетности, включая бухгалтерский баланс и приложения к нему (раскрывается регулируемыми организациями, выручка от регулируемой деятельности которых превышает 80 процентов совокупной выручки за отчетный год);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11"/>
      <w:bookmarkEnd w:id="6"/>
      <w:r>
        <w:rPr>
          <w:rFonts w:ascii="Calibri" w:hAnsi="Calibri" w:cs="Calibri"/>
        </w:rPr>
        <w:t>з) об объеме принятых на утилизацию (захоронение) твердых бытовых отходов (тыс. куб. м в год);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12"/>
      <w:bookmarkEnd w:id="7"/>
      <w:r>
        <w:rPr>
          <w:rFonts w:ascii="Calibri" w:hAnsi="Calibri" w:cs="Calibri"/>
        </w:rPr>
        <w:t>и) о среднесписочной численности основного производственного персонала (человек).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13"/>
      <w:bookmarkEnd w:id="8"/>
      <w:r>
        <w:rPr>
          <w:rFonts w:ascii="Calibri" w:hAnsi="Calibri" w:cs="Calibri"/>
        </w:rPr>
        <w:t>59. Информация об инвестиционных программах и отчетах об их реализации содержит наименование соответствующей программы, а также сведения: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4"/>
      <w:bookmarkEnd w:id="9"/>
      <w:r>
        <w:rPr>
          <w:rFonts w:ascii="Calibri" w:hAnsi="Calibri" w:cs="Calibri"/>
        </w:rPr>
        <w:t>а) о цели инвестиционной программы;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сроках начала и окончания реализации инвестиционной программы;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6"/>
      <w:bookmarkEnd w:id="10"/>
      <w:r>
        <w:rPr>
          <w:rFonts w:ascii="Calibri" w:hAnsi="Calibri" w:cs="Calibri"/>
        </w:rPr>
        <w:t>в)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7"/>
      <w:bookmarkEnd w:id="11"/>
      <w:r>
        <w:rPr>
          <w:rFonts w:ascii="Calibri" w:hAnsi="Calibri" w:cs="Calibri"/>
        </w:rPr>
        <w:t>г) о показателях эффективности реализации инвестиционной программы, а также об изменении технико-экономических показателей регулируемой организации (с разбивкой по мероприятиям);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8"/>
      <w:bookmarkEnd w:id="12"/>
      <w:r>
        <w:rPr>
          <w:rFonts w:ascii="Calibri" w:hAnsi="Calibri" w:cs="Calibri"/>
        </w:rPr>
        <w:t>д)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60. В официальных печатных изданиях сведения, указанные в </w:t>
      </w:r>
      <w:hyperlink w:anchor="Par116" w:history="1">
        <w:r>
          <w:rPr>
            <w:rFonts w:ascii="Calibri" w:hAnsi="Calibri" w:cs="Calibri"/>
            <w:color w:val="0000FF"/>
          </w:rPr>
          <w:t>подпунктах "в"</w:t>
        </w:r>
      </w:hyperlink>
      <w:r>
        <w:rPr>
          <w:rFonts w:ascii="Calibri" w:hAnsi="Calibri" w:cs="Calibri"/>
        </w:rPr>
        <w:t xml:space="preserve"> - </w:t>
      </w:r>
      <w:hyperlink w:anchor="Par118" w:history="1">
        <w:r>
          <w:rPr>
            <w:rFonts w:ascii="Calibri" w:hAnsi="Calibri" w:cs="Calibri"/>
            <w:color w:val="0000FF"/>
          </w:rPr>
          <w:t>"д" пункта 59</w:t>
        </w:r>
      </w:hyperlink>
      <w:r>
        <w:rPr>
          <w:rFonts w:ascii="Calibri" w:hAnsi="Calibri" w:cs="Calibri"/>
        </w:rPr>
        <w:t xml:space="preserve"> настоящего документа, публикуются в отношении мероприятий инвестиционной программы, доля </w:t>
      </w:r>
      <w:proofErr w:type="gramStart"/>
      <w:r>
        <w:rPr>
          <w:rFonts w:ascii="Calibri" w:hAnsi="Calibri" w:cs="Calibri"/>
        </w:rPr>
        <w:t>расходов</w:t>
      </w:r>
      <w:proofErr w:type="gramEnd"/>
      <w:r>
        <w:rPr>
          <w:rFonts w:ascii="Calibri" w:hAnsi="Calibri" w:cs="Calibri"/>
        </w:rPr>
        <w:t xml:space="preserve"> на реализацию которых превышает 5 процентов суммы финансирования инвестиционной программы за отчетный год.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20"/>
      <w:bookmarkEnd w:id="13"/>
      <w:r>
        <w:rPr>
          <w:rFonts w:ascii="Calibri" w:hAnsi="Calibri" w:cs="Calibri"/>
        </w:rPr>
        <w:t>61. Информация об условиях, на которых осуществляется оказание регулируемых услуг, содержит сведения об условиях публичных договоров поставок регулируемых товаров, оказания регулируемых услуг.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62. Информация, указанная в </w:t>
      </w:r>
      <w:hyperlink w:anchor="Par92" w:history="1">
        <w:r>
          <w:rPr>
            <w:rFonts w:ascii="Calibri" w:hAnsi="Calibri" w:cs="Calibri"/>
            <w:color w:val="0000FF"/>
          </w:rPr>
          <w:t>пунктах 56</w:t>
        </w:r>
      </w:hyperlink>
      <w:r>
        <w:rPr>
          <w:rFonts w:ascii="Calibri" w:hAnsi="Calibri" w:cs="Calibri"/>
        </w:rPr>
        <w:t xml:space="preserve"> и </w:t>
      </w:r>
      <w:hyperlink w:anchor="Par120" w:history="1"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дней со дня принятия соответствующего решения об установлении тарифа (надбавки) на очередной период регулирования.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Одновременно с указанной в </w:t>
      </w:r>
      <w:hyperlink w:anchor="Par92" w:history="1">
        <w:r>
          <w:rPr>
            <w:rFonts w:ascii="Calibri" w:hAnsi="Calibri" w:cs="Calibri"/>
            <w:color w:val="0000FF"/>
          </w:rPr>
          <w:t>пункте 56</w:t>
        </w:r>
      </w:hyperlink>
      <w:r>
        <w:rPr>
          <w:rFonts w:ascii="Calibri" w:hAnsi="Calibri" w:cs="Calibri"/>
        </w:rPr>
        <w:t xml:space="preserve"> настоящего документа информацией на сайте в сети Интернет публикуются сведения о финансово-хозяйственной деятельности регулируемой организации, указанные в </w:t>
      </w:r>
      <w:hyperlink w:anchor="Par98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08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, </w:t>
      </w:r>
      <w:hyperlink w:anchor="Par111" w:history="1">
        <w:r>
          <w:rPr>
            <w:rFonts w:ascii="Calibri" w:hAnsi="Calibri" w:cs="Calibri"/>
            <w:color w:val="0000FF"/>
          </w:rPr>
          <w:t>"з"</w:t>
        </w:r>
      </w:hyperlink>
      <w:r>
        <w:rPr>
          <w:rFonts w:ascii="Calibri" w:hAnsi="Calibri" w:cs="Calibri"/>
        </w:rPr>
        <w:t xml:space="preserve">, </w:t>
      </w:r>
      <w:hyperlink w:anchor="Par112" w:history="1">
        <w:r>
          <w:rPr>
            <w:rFonts w:ascii="Calibri" w:hAnsi="Calibri" w:cs="Calibri"/>
            <w:color w:val="0000FF"/>
          </w:rPr>
          <w:t>"и" пункта 58</w:t>
        </w:r>
      </w:hyperlink>
      <w:r>
        <w:rPr>
          <w:rFonts w:ascii="Calibri" w:hAnsi="Calibri" w:cs="Calibri"/>
        </w:rPr>
        <w:t xml:space="preserve"> и </w:t>
      </w:r>
      <w:hyperlink w:anchor="Par11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17" w:history="1">
        <w:r>
          <w:rPr>
            <w:rFonts w:ascii="Calibri" w:hAnsi="Calibri" w:cs="Calibri"/>
            <w:color w:val="0000FF"/>
          </w:rPr>
          <w:t>"г" пункта 59</w:t>
        </w:r>
      </w:hyperlink>
      <w:r>
        <w:rPr>
          <w:rFonts w:ascii="Calibri" w:hAnsi="Calibri" w:cs="Calibri"/>
        </w:rPr>
        <w:t xml:space="preserve"> настоящего документа, учтенные органом исполнительной власти субъекта Российской Федерации (органом местного самоуправления) при установлении тарифов и надбавок к тарифам на очередной период регулирования.</w:t>
      </w:r>
      <w:proofErr w:type="gramEnd"/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Информация, указанная в </w:t>
      </w:r>
      <w:hyperlink w:anchor="Par97" w:history="1">
        <w:r>
          <w:rPr>
            <w:rFonts w:ascii="Calibri" w:hAnsi="Calibri" w:cs="Calibri"/>
            <w:color w:val="0000FF"/>
          </w:rPr>
          <w:t>пунктах 58</w:t>
        </w:r>
      </w:hyperlink>
      <w:r>
        <w:rPr>
          <w:rFonts w:ascii="Calibri" w:hAnsi="Calibri" w:cs="Calibri"/>
        </w:rPr>
        <w:t xml:space="preserve"> и </w:t>
      </w:r>
      <w:hyperlink w:anchor="Par113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дней со дня сдачи годового бухгалтерского баланса в налоговые органы и должна соответствовать годовой бухгалтерской отчетности за отчетный год.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Одновременно с указанной в </w:t>
      </w:r>
      <w:hyperlink w:anchor="Par97" w:history="1">
        <w:r>
          <w:rPr>
            <w:rFonts w:ascii="Calibri" w:hAnsi="Calibri" w:cs="Calibri"/>
            <w:color w:val="0000FF"/>
          </w:rPr>
          <w:t>пункте 58</w:t>
        </w:r>
      </w:hyperlink>
      <w:r>
        <w:rPr>
          <w:rFonts w:ascii="Calibri" w:hAnsi="Calibri" w:cs="Calibri"/>
        </w:rPr>
        <w:t xml:space="preserve"> настоящего документа информацией о расходах на ремонт (капитальный и текущий) основных производственных средств и расходах на услуги производственного характера, выполняемые по договорам с организациями на проведение регламентных работ в рамках технологического процесса, на сайте в сети Интернет публикуется информация об объемах товаров и услуг, их стоимости и способах приобретения у тех организаций, сумма оплаты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услуг</w:t>
      </w:r>
      <w:proofErr w:type="gramEnd"/>
      <w:r>
        <w:rPr>
          <w:rFonts w:ascii="Calibri" w:hAnsi="Calibri" w:cs="Calibri"/>
        </w:rPr>
        <w:t xml:space="preserve"> которых превышает 20 процентов суммы расходов по каждой из указанных статьей расходов.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указывается информация о поставке товаров и услуг, стоимость которых превышает 20 процентов суммы поставки товаров и услуг каждой из этих организаций.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VII. ПОРЯДОК РАСКРЫТИЯ ИНФОРМАЦИИ ПО </w:t>
      </w:r>
      <w:proofErr w:type="gramStart"/>
      <w:r>
        <w:rPr>
          <w:rFonts w:ascii="Calibri" w:hAnsi="Calibri" w:cs="Calibri"/>
        </w:rPr>
        <w:t>ПИСЬМЕННЫМ</w:t>
      </w:r>
      <w:proofErr w:type="gramEnd"/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ЗАПРОСАМ ПОТРЕБИТЕЛЕЙ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63.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64. Предоставление информации осуществляется в письменной форме посредством </w:t>
      </w:r>
      <w:r>
        <w:rPr>
          <w:rFonts w:ascii="Calibri" w:hAnsi="Calibri" w:cs="Calibri"/>
        </w:rPr>
        <w:lastRenderedPageBreak/>
        <w:t>направления в адрес потребителя почтового отправления либо выдачи лично потребителю по месту нахождения регулируемой организации.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65. </w:t>
      </w:r>
      <w:proofErr w:type="gramStart"/>
      <w:r>
        <w:rPr>
          <w:rFonts w:ascii="Calibri" w:hAnsi="Calibri" w:cs="Calibri"/>
        </w:rPr>
        <w:t>Потребитель в письменном запросе о предоставлении информации указывает регулируемую организацию, в которую направляет указанный запрос, а также свою фамилию, имя, отчество (наименование юридического лица), почтовый адрес, по которому должен быть направлен ответ, излагает суть заявления, подписывает запрос и проставляет дату, а также указывает способ получения запрашиваемой информации (посредством почтового отправления или выдачи лично потребителю).</w:t>
      </w:r>
      <w:proofErr w:type="gramEnd"/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66. Поступивший в адрес регулируемой организации письменный запрос о предоставлении информации подлежит регистрации в день его поступления в регулируемую организацию с присвоением ему регистрационного номера и проставлением штампа соответствующей организации.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67. Регулируемая организация не позднее 20 календарных дней со дня поступления запроса направляет раскрываемую в соответствии с настоящим документом информацию в адрес потребителя согласно избранному потребителем способу получения информации.</w:t>
      </w: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A31" w:rsidRDefault="00BC4A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1789E" w:rsidRDefault="00D1789E"/>
    <w:sectPr w:rsidR="00D1789E" w:rsidSect="0088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4A31"/>
    <w:rsid w:val="00BC4A31"/>
    <w:rsid w:val="00D1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C260A2E84689407CA7D815A5AA9DBFFBE159BF7F73202753F7CC524B18A1603DC6E2305AAFB56DM14FJ" TargetMode="External"/><Relationship Id="rId13" Type="http://schemas.openxmlformats.org/officeDocument/2006/relationships/hyperlink" Target="consultantplus://offline/ref=BDC260A2E84689407CA7D815A5AA9DBFFBE150B6767C202753F7CC524B18A1603DC6E2305AAFB46AM14FJ" TargetMode="External"/><Relationship Id="rId18" Type="http://schemas.openxmlformats.org/officeDocument/2006/relationships/hyperlink" Target="consultantplus://offline/ref=BDC260A2E84689407CA7D815A5AA9DBFFBE150B6767C202753F7CC524B18A1603DC6E2305AAFB46AM14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C260A2E84689407CA7D815A5AA9DBFFBE150BA7C7B202753F7CC524B18A1603DC6E235M54AJ" TargetMode="External"/><Relationship Id="rId12" Type="http://schemas.openxmlformats.org/officeDocument/2006/relationships/hyperlink" Target="consultantplus://offline/ref=BDC260A2E84689407CA7D815A5AA9DBFFBE159BF7F73202753F7CC524B18A1603DC6E2305AAFB562M146J" TargetMode="External"/><Relationship Id="rId17" Type="http://schemas.openxmlformats.org/officeDocument/2006/relationships/hyperlink" Target="consultantplus://offline/ref=BDC260A2E84689407CA7D815A5AA9DBFFBE150B6767C202753F7CC524B18A1603DC6E2305AAFB46AM14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C260A2E84689407CA7D815A5AA9DBFFBE150B6767C202753F7CC524B18A1603DC6E2305AAFB46AM14E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C260A2E84689407CA7D815A5AA9DBFFBE150BA7C7B202753F7CC524B18A1603DC6E233M54AJ" TargetMode="External"/><Relationship Id="rId11" Type="http://schemas.openxmlformats.org/officeDocument/2006/relationships/hyperlink" Target="consultantplus://offline/ref=BDC260A2E84689407CA7D815A5AA9DBFFBE159BF7F73202753F7CC524B18A1603DC6E2305AAFB562M147J" TargetMode="External"/><Relationship Id="rId5" Type="http://schemas.openxmlformats.org/officeDocument/2006/relationships/hyperlink" Target="consultantplus://offline/ref=BDC260A2E84689407CA7D815A5AA9DBFFBE159BF7F73202753F7CC524B18A1603DC6E2305AAFB46AM140J" TargetMode="External"/><Relationship Id="rId15" Type="http://schemas.openxmlformats.org/officeDocument/2006/relationships/hyperlink" Target="consultantplus://offline/ref=BDC260A2E84689407CA7D815A5AA9DBFFBE159BF7F73202753F7CC524B18A1603DC6E2305AAFB562M144J" TargetMode="External"/><Relationship Id="rId10" Type="http://schemas.openxmlformats.org/officeDocument/2006/relationships/hyperlink" Target="consultantplus://offline/ref=BDC260A2E84689407CA7D815A5AA9DBFFBE150B6767C202753F7CC524B18A1603DC6E2305AAFB46AM140J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BDC260A2E84689407CA7D815A5AA9DBFFBE150B6767C202753F7CC524B18A1603DC6E2305AAFB46AM140J" TargetMode="External"/><Relationship Id="rId9" Type="http://schemas.openxmlformats.org/officeDocument/2006/relationships/hyperlink" Target="consultantplus://offline/ref=BDC260A2E84689407CA7D815A5AA9DBFFBE159BF7F73202753F7CC524B18A1603DC6E2305AAFB56DM14EJ" TargetMode="External"/><Relationship Id="rId14" Type="http://schemas.openxmlformats.org/officeDocument/2006/relationships/hyperlink" Target="consultantplus://offline/ref=BDC260A2E84689407CA7D815A5AA9DBFFBE159BF7F73202753F7CC524B18A1603DC6E2305AAFB562M14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2301</Words>
  <Characters>13122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GorbunovaMV</dc:creator>
  <cp:lastModifiedBy>GorbunovaMV</cp:lastModifiedBy>
  <cp:revision>1</cp:revision>
  <dcterms:created xsi:type="dcterms:W3CDTF">2013-08-02T09:56:00Z</dcterms:created>
  <dcterms:modified xsi:type="dcterms:W3CDTF">2013-08-02T09:57:00Z</dcterms:modified>
</cp:coreProperties>
</file>